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13"/>
        <w:gridCol w:w="3594"/>
        <w:gridCol w:w="2338"/>
        <w:gridCol w:w="2338"/>
      </w:tblGrid>
      <w:tr w:rsidR="00DD0DB0" w:rsidRPr="00D33A6C" w:rsidTr="00DD0DB0">
        <w:trPr>
          <w:trHeight w:val="530"/>
        </w:trPr>
        <w:tc>
          <w:tcPr>
            <w:tcW w:w="9383" w:type="dxa"/>
            <w:gridSpan w:val="4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34" w:hanging="5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D33A6C">
              <w:rPr>
                <w:rFonts w:asciiTheme="minorHAnsi" w:eastAsia="Times New Roman" w:hAnsiTheme="minorHAnsi" w:cstheme="minorHAnsi"/>
                <w:b/>
                <w:bCs/>
              </w:rPr>
              <w:t>Course</w:t>
            </w:r>
            <w:r w:rsidRPr="00D33A6C">
              <w:rPr>
                <w:rFonts w:asciiTheme="minorHAnsi" w:eastAsia="Times New Roman" w:hAnsiTheme="minorHAnsi" w:cstheme="minorHAnsi"/>
                <w:b/>
                <w:bCs/>
                <w:spacing w:val="-1"/>
              </w:rPr>
              <w:t xml:space="preserve">: </w:t>
            </w:r>
            <w:proofErr w:type="spellStart"/>
            <w:r w:rsidRPr="00D33A6C">
              <w:rPr>
                <w:rFonts w:asciiTheme="minorHAnsi" w:hAnsiTheme="minorHAnsi" w:cstheme="minorHAnsi"/>
                <w:b/>
                <w:spacing w:val="-1"/>
              </w:rPr>
              <w:t>ReFLAME</w:t>
            </w:r>
            <w:proofErr w:type="spellEnd"/>
            <w:r w:rsidRPr="00D33A6C">
              <w:rPr>
                <w:rFonts w:asciiTheme="minorHAnsi" w:hAnsiTheme="minorHAnsi" w:cstheme="minorHAnsi"/>
                <w:b/>
                <w:spacing w:val="-1"/>
              </w:rPr>
              <w:t xml:space="preserve"> Your </w:t>
            </w:r>
            <w:proofErr w:type="spellStart"/>
            <w:r w:rsidRPr="00D33A6C">
              <w:rPr>
                <w:rFonts w:asciiTheme="minorHAnsi" w:hAnsiTheme="minorHAnsi" w:cstheme="minorHAnsi"/>
                <w:b/>
                <w:spacing w:val="-1"/>
              </w:rPr>
              <w:t>Italiano</w:t>
            </w:r>
            <w:proofErr w:type="spellEnd"/>
            <w:r w:rsidRPr="00D33A6C">
              <w:rPr>
                <w:rFonts w:asciiTheme="minorHAnsi" w:hAnsiTheme="minorHAnsi" w:cstheme="minorHAnsi"/>
                <w:b/>
                <w:spacing w:val="-1"/>
              </w:rPr>
              <w:t xml:space="preserve"> per </w:t>
            </w:r>
            <w:proofErr w:type="spellStart"/>
            <w:r w:rsidRPr="00D33A6C">
              <w:rPr>
                <w:rFonts w:asciiTheme="minorHAnsi" w:hAnsiTheme="minorHAnsi" w:cstheme="minorHAnsi"/>
                <w:b/>
                <w:spacing w:val="-1"/>
              </w:rPr>
              <w:t>i</w:t>
            </w:r>
            <w:proofErr w:type="spellEnd"/>
            <w:r w:rsidRPr="00D33A6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D33A6C">
              <w:rPr>
                <w:rFonts w:asciiTheme="minorHAnsi" w:hAnsiTheme="minorHAnsi" w:cstheme="minorHAnsi"/>
                <w:b/>
                <w:spacing w:val="-1"/>
              </w:rPr>
              <w:t>mediatori</w:t>
            </w:r>
            <w:proofErr w:type="spellEnd"/>
            <w:r w:rsidRPr="00D33A6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D33A6C">
              <w:rPr>
                <w:rFonts w:asciiTheme="minorHAnsi" w:hAnsiTheme="minorHAnsi" w:cstheme="minorHAnsi"/>
                <w:b/>
                <w:spacing w:val="-1"/>
              </w:rPr>
              <w:t>linguistico-culturali</w:t>
            </w:r>
            <w:proofErr w:type="spellEnd"/>
            <w:r w:rsidRPr="00D33A6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  <w:p w:rsidR="00DD0DB0" w:rsidRPr="00D33A6C" w:rsidRDefault="00DD0DB0" w:rsidP="00DD0DB0">
            <w:pPr>
              <w:ind w:hanging="57"/>
              <w:rPr>
                <w:lang w:val="en-US"/>
              </w:rPr>
            </w:pP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277" w:hanging="57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hAnsiTheme="minorHAnsi" w:cstheme="minorHAnsi"/>
                <w:b/>
                <w:spacing w:val="-1"/>
              </w:rPr>
              <w:t>Course status</w:t>
            </w:r>
          </w:p>
        </w:tc>
        <w:tc>
          <w:tcPr>
            <w:tcW w:w="3594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-105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hAnsiTheme="minorHAnsi" w:cstheme="minorHAnsi"/>
                <w:b/>
                <w:spacing w:val="-1"/>
              </w:rPr>
              <w:t>Semester</w:t>
            </w:r>
          </w:p>
        </w:tc>
        <w:tc>
          <w:tcPr>
            <w:tcW w:w="2338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325" w:hanging="57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hAnsiTheme="minorHAnsi" w:cstheme="minorHAnsi"/>
                <w:b/>
              </w:rPr>
              <w:t>No. of ECTS credits</w:t>
            </w:r>
            <w:r w:rsidRPr="00D33A6C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338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313" w:hanging="57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hAnsiTheme="minorHAnsi" w:cstheme="minorHAnsi"/>
                <w:b/>
              </w:rPr>
              <w:t>Duration/No. of classes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-18" w:right="-201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D33A6C">
              <w:rPr>
                <w:rFonts w:asciiTheme="minorHAnsi" w:hAnsiTheme="minorHAnsi" w:cstheme="minorHAnsi"/>
                <w:spacing w:val="-1"/>
              </w:rPr>
              <w:t>Optional</w:t>
            </w:r>
          </w:p>
          <w:p w:rsidR="00DD0DB0" w:rsidRPr="00D33A6C" w:rsidRDefault="00DD0DB0" w:rsidP="00DD0DB0">
            <w:pPr>
              <w:pStyle w:val="TableParagraph"/>
              <w:spacing w:line="192" w:lineRule="exact"/>
              <w:ind w:left="-18" w:right="-201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94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-18" w:right="-201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338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-18" w:right="-201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eastAsia="Times New Roman" w:hAnsiTheme="minorHAnsi" w:cstheme="minorHAnsi"/>
              </w:rPr>
              <w:t>n/a</w:t>
            </w:r>
          </w:p>
        </w:tc>
        <w:tc>
          <w:tcPr>
            <w:tcW w:w="2338" w:type="dxa"/>
          </w:tcPr>
          <w:p w:rsidR="00DD0DB0" w:rsidRPr="00D33A6C" w:rsidRDefault="00DD0DB0" w:rsidP="00DD0DB0">
            <w:pPr>
              <w:pStyle w:val="TableParagraph"/>
              <w:spacing w:line="192" w:lineRule="exact"/>
              <w:ind w:left="-18" w:right="-201"/>
              <w:jc w:val="center"/>
              <w:rPr>
                <w:rFonts w:asciiTheme="minorHAnsi" w:eastAsia="Times New Roman" w:hAnsiTheme="minorHAnsi" w:cstheme="minorHAnsi"/>
              </w:rPr>
            </w:pPr>
            <w:r w:rsidRPr="00D33A6C">
              <w:rPr>
                <w:rFonts w:asciiTheme="minorHAnsi" w:eastAsia="Times New Roman" w:hAnsiTheme="minorHAnsi" w:cstheme="minorHAnsi"/>
              </w:rPr>
              <w:t>4h per day/53</w:t>
            </w: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rPr>
                <w:lang w:val="en-US"/>
              </w:rPr>
            </w:pPr>
            <w:r w:rsidRPr="00D33A6C">
              <w:rPr>
                <w:b/>
                <w:lang w:val="en-US"/>
              </w:rPr>
              <w:t xml:space="preserve">Level: </w:t>
            </w:r>
            <w:r w:rsidRPr="00D33A6C">
              <w:rPr>
                <w:lang w:val="en-US"/>
              </w:rPr>
              <w:t>A2+/B1</w:t>
            </w: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rPr>
                <w:lang w:val="en-US"/>
              </w:rPr>
            </w:pPr>
            <w:r w:rsidRPr="00D33A6C">
              <w:rPr>
                <w:rFonts w:cstheme="minorHAnsi"/>
                <w:b/>
                <w:spacing w:val="-1"/>
                <w:lang w:val="en-US"/>
              </w:rPr>
              <w:t xml:space="preserve">Prerequisites: </w:t>
            </w:r>
            <w:r w:rsidRPr="00D33A6C">
              <w:rPr>
                <w:rFonts w:cstheme="minorHAnsi"/>
                <w:spacing w:val="-1"/>
                <w:lang w:val="en-US"/>
              </w:rPr>
              <w:t>A2 level</w:t>
            </w:r>
            <w:r w:rsidRPr="00D33A6C">
              <w:rPr>
                <w:rFonts w:cstheme="minorHAnsi"/>
                <w:b/>
                <w:spacing w:val="-1"/>
                <w:lang w:val="en-US"/>
              </w:rPr>
              <w:t xml:space="preserve"> </w:t>
            </w:r>
            <w:r w:rsidRPr="00D33A6C">
              <w:rPr>
                <w:rFonts w:cstheme="minorHAnsi"/>
                <w:spacing w:val="-1"/>
                <w:lang w:val="en-US"/>
              </w:rPr>
              <w:t>(general Italian)</w:t>
            </w: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CE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cstheme="minorHAnsi"/>
                <w:b/>
                <w:lang w:val="en-US"/>
              </w:rPr>
              <w:t>Course learning objectives:</w:t>
            </w:r>
            <w:r w:rsidRPr="00D33A6C">
              <w:rPr>
                <w:rFonts w:cstheme="minorHAnsi"/>
                <w:lang w:val="en-US"/>
              </w:rPr>
              <w:t xml:space="preserve"> </w:t>
            </w:r>
            <w:r w:rsidR="00CE6D21" w:rsidRPr="00D33A6C">
              <w:rPr>
                <w:rFonts w:cstheme="minorHAnsi"/>
                <w:lang w:val="en-US"/>
              </w:rPr>
              <w:t>Systematic development of all language skills in</w:t>
            </w:r>
            <w:r w:rsidRPr="00D33A6C">
              <w:rPr>
                <w:rFonts w:eastAsia="Times New Roman" w:cstheme="minorHAnsi"/>
                <w:lang w:val="en-US" w:eastAsia="it-IT"/>
              </w:rPr>
              <w:t xml:space="preserve"> using Italian language in the business environment – more precisely, in cultural and linguistic mediation and business communication/correspondence, pr</w:t>
            </w:r>
            <w:r w:rsidR="00CE6D21" w:rsidRPr="00D33A6C">
              <w:rPr>
                <w:rFonts w:eastAsia="Times New Roman" w:cstheme="minorHAnsi"/>
                <w:lang w:val="en-US" w:eastAsia="it-IT"/>
              </w:rPr>
              <w:t xml:space="preserve">imarily in the field of tourism, </w:t>
            </w:r>
            <w:r w:rsidR="00CE6D21" w:rsidRPr="00D33A6C">
              <w:rPr>
                <w:rFonts w:cstheme="minorHAnsi"/>
                <w:lang w:val="en-US"/>
              </w:rPr>
              <w:t>at the  A2+/ B1 level of the Common European Framework of Reference for Languages</w:t>
            </w:r>
            <w:r w:rsidR="00CE6D21" w:rsidRPr="00D33A6C">
              <w:rPr>
                <w:rFonts w:eastAsia="Times New Roman" w:cstheme="minorHAnsi"/>
                <w:lang w:val="en-US" w:eastAsia="it-IT"/>
              </w:rPr>
              <w:t xml:space="preserve"> </w:t>
            </w:r>
          </w:p>
          <w:p w:rsidR="00193B85" w:rsidRPr="00D33A6C" w:rsidRDefault="00CE6D21" w:rsidP="0019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lang w:val="en-US"/>
              </w:rPr>
            </w:pPr>
            <w:r w:rsidRPr="00D33A6C">
              <w:rPr>
                <w:rFonts w:cstheme="minorHAnsi"/>
                <w:lang w:val="en-US"/>
              </w:rPr>
              <w:t>Introduction to professional terminology and specific structures in the field of tourism and hospitality in written and oral communication</w:t>
            </w:r>
            <w:r w:rsidR="00193B85" w:rsidRPr="00D33A6C">
              <w:rPr>
                <w:rFonts w:cstheme="minorHAnsi"/>
                <w:lang w:val="en-US"/>
              </w:rPr>
              <w:t xml:space="preserve">. </w:t>
            </w:r>
            <w:r w:rsidRPr="00D33A6C">
              <w:rPr>
                <w:rFonts w:cstheme="minorHAnsi"/>
                <w:lang w:val="en-US"/>
              </w:rPr>
              <w:t xml:space="preserve"> </w:t>
            </w:r>
          </w:p>
          <w:p w:rsidR="00CE6D21" w:rsidRPr="00D33A6C" w:rsidRDefault="00CE6D21" w:rsidP="0019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cstheme="minorHAnsi"/>
                <w:lang w:val="en-US"/>
              </w:rPr>
              <w:t xml:space="preserve">Acquisition of grammatical knowledge, techniques and skills necessary for understanding professional texts as well as for oral presentations on topics in the field of tourism and hospitality, </w:t>
            </w:r>
            <w:r w:rsidR="00193B85" w:rsidRPr="00D33A6C">
              <w:rPr>
                <w:rFonts w:cstheme="minorHAnsi"/>
                <w:lang w:val="en-US"/>
              </w:rPr>
              <w:t>at the above mentioned level</w:t>
            </w:r>
            <w:r w:rsidR="006B351B" w:rsidRPr="00D33A6C">
              <w:rPr>
                <w:rFonts w:cstheme="minorHAnsi"/>
                <w:lang w:val="en-US"/>
              </w:rPr>
              <w:t xml:space="preserve"> of linguistic competence</w:t>
            </w:r>
            <w:r w:rsidR="00193B85" w:rsidRPr="00D33A6C">
              <w:rPr>
                <w:rFonts w:cstheme="minorHAnsi"/>
                <w:lang w:val="en-US"/>
              </w:rPr>
              <w:t>.</w:t>
            </w: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rPr>
                <w:rFonts w:cstheme="minorHAnsi"/>
                <w:lang w:val="en-US"/>
              </w:rPr>
            </w:pPr>
            <w:r w:rsidRPr="00D33A6C">
              <w:rPr>
                <w:rFonts w:cstheme="minorHAnsi"/>
                <w:b/>
                <w:lang w:val="en-US"/>
              </w:rPr>
              <w:t xml:space="preserve">Lecturer:  </w:t>
            </w:r>
            <w:r w:rsidRPr="00D33A6C">
              <w:rPr>
                <w:rFonts w:cstheme="minorHAnsi"/>
                <w:lang w:val="en-US"/>
              </w:rPr>
              <w:t>Deja Piletić</w:t>
            </w:r>
          </w:p>
          <w:p w:rsidR="00DD0DB0" w:rsidRPr="00D33A6C" w:rsidRDefault="00DD0DB0" w:rsidP="00DD0DB0">
            <w:pPr>
              <w:ind w:hanging="57"/>
              <w:rPr>
                <w:lang w:val="en-US"/>
              </w:rPr>
            </w:pP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rPr>
                <w:rFonts w:cstheme="minorHAnsi"/>
                <w:bCs/>
                <w:spacing w:val="-1"/>
                <w:lang w:val="en-US"/>
              </w:rPr>
            </w:pPr>
            <w:r w:rsidRPr="00D33A6C">
              <w:rPr>
                <w:rFonts w:cstheme="minorHAnsi"/>
                <w:b/>
                <w:lang w:val="en-US"/>
              </w:rPr>
              <w:t>Teaching methods</w:t>
            </w:r>
            <w:r w:rsidRPr="00D33A6C">
              <w:rPr>
                <w:rFonts w:cstheme="minorHAnsi"/>
                <w:b/>
                <w:spacing w:val="-1"/>
                <w:lang w:val="en-US"/>
              </w:rPr>
              <w:t xml:space="preserve">: </w:t>
            </w:r>
            <w:r w:rsidRPr="00D33A6C">
              <w:rPr>
                <w:rFonts w:cstheme="minorHAnsi"/>
                <w:bCs/>
                <w:spacing w:val="-1"/>
                <w:lang w:val="en-US"/>
              </w:rPr>
              <w:t>reading, writing, listening, discussions, individual work, pair work, group work, role-play, presentations</w:t>
            </w:r>
          </w:p>
          <w:p w:rsidR="00DD0DB0" w:rsidRPr="00D33A6C" w:rsidRDefault="00DD0DB0" w:rsidP="00DD0DB0">
            <w:pPr>
              <w:ind w:hanging="57"/>
              <w:rPr>
                <w:lang w:val="en-US"/>
              </w:rPr>
            </w:pPr>
          </w:p>
        </w:tc>
      </w:tr>
      <w:tr w:rsidR="00DD0DB0" w:rsidRPr="00D33A6C" w:rsidTr="00DD0DB0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jc w:val="center"/>
              <w:rPr>
                <w:lang w:val="en-US"/>
              </w:rPr>
            </w:pPr>
            <w:r w:rsidRPr="00D33A6C">
              <w:rPr>
                <w:rFonts w:cstheme="minorHAnsi"/>
                <w:b/>
                <w:spacing w:val="-1"/>
                <w:lang w:val="en-US"/>
              </w:rPr>
              <w:t>INTENSIVE SUMMER SCHOOL COURSE CONTENT: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Day 1</w:t>
            </w:r>
          </w:p>
        </w:tc>
        <w:tc>
          <w:tcPr>
            <w:tcW w:w="8270" w:type="dxa"/>
            <w:gridSpan w:val="3"/>
          </w:tcPr>
          <w:p w:rsidR="00DD0DB0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lang w:val="en-US"/>
              </w:rPr>
              <w:t>Introduzione</w:t>
            </w:r>
            <w:proofErr w:type="spellEnd"/>
            <w:r w:rsidRPr="00D33A6C">
              <w:rPr>
                <w:lang w:val="en-US"/>
              </w:rPr>
              <w:t xml:space="preserve"> al </w:t>
            </w:r>
            <w:proofErr w:type="spellStart"/>
            <w:r w:rsidRPr="00D33A6C">
              <w:rPr>
                <w:lang w:val="en-US"/>
              </w:rPr>
              <w:t>corso</w:t>
            </w:r>
            <w:proofErr w:type="spellEnd"/>
          </w:p>
          <w:p w:rsidR="0016313D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Ripasso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lang w:val="en-US"/>
              </w:rPr>
              <w:t>i</w:t>
            </w:r>
            <w:proofErr w:type="spellEnd"/>
            <w:r w:rsidRPr="00D33A6C">
              <w:rPr>
                <w:lang w:val="en-US"/>
              </w:rPr>
              <w:t xml:space="preserve"> tempi del </w:t>
            </w:r>
            <w:proofErr w:type="spellStart"/>
            <w:r w:rsidRPr="00D33A6C">
              <w:rPr>
                <w:lang w:val="en-US"/>
              </w:rPr>
              <w:t>passato</w:t>
            </w:r>
            <w:proofErr w:type="spellEnd"/>
            <w:r w:rsidRPr="00D33A6C">
              <w:rPr>
                <w:lang w:val="en-US"/>
              </w:rPr>
              <w:t xml:space="preserve"> - </w:t>
            </w:r>
            <w:proofErr w:type="spellStart"/>
            <w:r w:rsidRPr="00D33A6C">
              <w:rPr>
                <w:lang w:val="en-US"/>
              </w:rPr>
              <w:t>passato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prossimo</w:t>
            </w:r>
            <w:proofErr w:type="spellEnd"/>
          </w:p>
          <w:p w:rsidR="0016313D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lang w:val="en-US"/>
              </w:rPr>
              <w:t>vocaboli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legati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all’università</w:t>
            </w:r>
            <w:proofErr w:type="spellEnd"/>
            <w:r w:rsidRPr="00D33A6C">
              <w:rPr>
                <w:lang w:val="en-US"/>
              </w:rPr>
              <w:t xml:space="preserve"> e al </w:t>
            </w:r>
            <w:proofErr w:type="spellStart"/>
            <w:r w:rsidRPr="00D33A6C">
              <w:rPr>
                <w:lang w:val="en-US"/>
              </w:rPr>
              <w:t>mondo</w:t>
            </w:r>
            <w:proofErr w:type="spellEnd"/>
            <w:r w:rsidRPr="00D33A6C">
              <w:rPr>
                <w:lang w:val="en-US"/>
              </w:rPr>
              <w:t xml:space="preserve"> del lavoro; </w:t>
            </w:r>
            <w:proofErr w:type="spellStart"/>
            <w:r w:rsidRPr="00D33A6C">
              <w:rPr>
                <w:lang w:val="en-US"/>
              </w:rPr>
              <w:t>modi</w:t>
            </w:r>
            <w:proofErr w:type="spellEnd"/>
            <w:r w:rsidRPr="00D33A6C">
              <w:rPr>
                <w:lang w:val="en-US"/>
              </w:rPr>
              <w:t xml:space="preserve"> di dire</w:t>
            </w:r>
          </w:p>
          <w:p w:rsidR="0016313D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lang w:val="en-US"/>
              </w:rPr>
              <w:t>imperfetto</w:t>
            </w:r>
            <w:proofErr w:type="spellEnd"/>
            <w:r w:rsidRPr="00D33A6C">
              <w:rPr>
                <w:lang w:val="en-US"/>
              </w:rPr>
              <w:t xml:space="preserve">, </w:t>
            </w:r>
            <w:proofErr w:type="spellStart"/>
            <w:r w:rsidRPr="00D33A6C">
              <w:rPr>
                <w:lang w:val="en-US"/>
              </w:rPr>
              <w:t>trapassato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prossimo</w:t>
            </w:r>
            <w:proofErr w:type="spellEnd"/>
            <w:r w:rsidRPr="00D33A6C">
              <w:rPr>
                <w:lang w:val="en-US"/>
              </w:rPr>
              <w:t xml:space="preserve">, </w:t>
            </w:r>
            <w:proofErr w:type="spellStart"/>
            <w:r w:rsidRPr="00D33A6C">
              <w:rPr>
                <w:lang w:val="en-US"/>
              </w:rPr>
              <w:t>gerundio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presente</w:t>
            </w:r>
            <w:proofErr w:type="spellEnd"/>
            <w:r w:rsidRPr="00D33A6C">
              <w:rPr>
                <w:lang w:val="en-US"/>
              </w:rPr>
              <w:t xml:space="preserve">, stare + </w:t>
            </w:r>
            <w:proofErr w:type="spellStart"/>
            <w:r w:rsidRPr="00D33A6C">
              <w:rPr>
                <w:lang w:val="en-US"/>
              </w:rPr>
              <w:t>gerundio</w:t>
            </w:r>
            <w:proofErr w:type="spellEnd"/>
          </w:p>
          <w:p w:rsidR="0016313D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lang w:val="en-US"/>
              </w:rPr>
              <w:t>confronto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tra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il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sistema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universitario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italiano</w:t>
            </w:r>
            <w:proofErr w:type="spellEnd"/>
            <w:r w:rsidRPr="00D33A6C">
              <w:rPr>
                <w:lang w:val="en-US"/>
              </w:rPr>
              <w:t xml:space="preserve"> e </w:t>
            </w:r>
            <w:proofErr w:type="spellStart"/>
            <w:r w:rsidRPr="00D33A6C">
              <w:rPr>
                <w:lang w:val="en-US"/>
              </w:rPr>
              <w:t>montenegrino</w:t>
            </w:r>
            <w:proofErr w:type="spellEnd"/>
          </w:p>
          <w:p w:rsidR="0016313D" w:rsidRPr="00D33A6C" w:rsidRDefault="0016313D" w:rsidP="0016313D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Parlare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passato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, in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particolare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della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propria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esperienza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riguardo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all’ambito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universitario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dare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informazioni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relative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alla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realtà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montenegrina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riguardo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all’ambito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universitario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. </w:t>
            </w:r>
          </w:p>
        </w:tc>
      </w:tr>
      <w:tr w:rsidR="00DD0DB0" w:rsidRPr="00D33A6C" w:rsidTr="00DF5AB7">
        <w:trPr>
          <w:trHeight w:val="2555"/>
        </w:trPr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2</w:t>
            </w:r>
          </w:p>
        </w:tc>
        <w:tc>
          <w:tcPr>
            <w:tcW w:w="8270" w:type="dxa"/>
            <w:gridSpan w:val="3"/>
          </w:tcPr>
          <w:p w:rsidR="00DD0DB0" w:rsidRPr="00D33A6C" w:rsidRDefault="00DF5AB7" w:rsidP="00DF5AB7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r w:rsidRPr="00D33A6C">
              <w:rPr>
                <w:sz w:val="23"/>
                <w:szCs w:val="23"/>
                <w:lang w:val="en-US"/>
              </w:rPr>
              <w:t xml:space="preserve">Nomi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settore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turistico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culturale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genere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femminile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maschile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settore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turistico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lavoro;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modi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dire</w:t>
            </w:r>
          </w:p>
          <w:p w:rsidR="00DF5AB7" w:rsidRPr="00D33A6C" w:rsidRDefault="00DF5AB7" w:rsidP="00DF5AB7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Derivazione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interrogativi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verbi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impersonali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aggettivi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qualità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DF5AB7" w:rsidRPr="00D33A6C" w:rsidRDefault="00DF5AB7" w:rsidP="00DF5AB7">
            <w:pPr>
              <w:ind w:left="-51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Genere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I </w:t>
            </w:r>
            <w:proofErr w:type="spellStart"/>
            <w:r w:rsidRPr="00D33A6C">
              <w:rPr>
                <w:i/>
                <w:iCs/>
                <w:sz w:val="23"/>
                <w:szCs w:val="23"/>
                <w:lang w:val="en-US"/>
              </w:rPr>
              <w:t>falsi</w:t>
            </w:r>
            <w:proofErr w:type="spellEnd"/>
            <w:r w:rsidRPr="00D33A6C">
              <w:rPr>
                <w:i/>
                <w:iCs/>
                <w:sz w:val="23"/>
                <w:szCs w:val="23"/>
                <w:lang w:val="en-US"/>
              </w:rPr>
              <w:t xml:space="preserve"> amici </w:t>
            </w:r>
            <w:r w:rsidRPr="00D33A6C">
              <w:rPr>
                <w:sz w:val="23"/>
                <w:szCs w:val="23"/>
                <w:lang w:val="en-US"/>
              </w:rPr>
              <w:t xml:space="preserve">–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lavoro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delle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DF5AB7" w:rsidRPr="00D33A6C" w:rsidRDefault="00DF5AB7" w:rsidP="00DF5AB7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r w:rsidRPr="00D33A6C">
              <w:rPr>
                <w:sz w:val="23"/>
                <w:szCs w:val="23"/>
                <w:lang w:val="en-US"/>
              </w:rPr>
              <w:t xml:space="preserve">Dare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informazioni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riguardo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proprio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percorso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formativo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intervistare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una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persona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sul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percorso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formativo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3</w:t>
            </w:r>
          </w:p>
        </w:tc>
        <w:tc>
          <w:tcPr>
            <w:tcW w:w="8270" w:type="dxa"/>
            <w:gridSpan w:val="3"/>
          </w:tcPr>
          <w:p w:rsidR="0058707A" w:rsidRPr="00D33A6C" w:rsidRDefault="00263C9B" w:rsidP="0058707A">
            <w:pPr>
              <w:ind w:left="-51" w:hanging="6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lavoro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dell’agente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viaggio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guida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turistica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, receptionist;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Lessico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legato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delle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agenzie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turistiche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degli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alberghi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</w:p>
          <w:p w:rsidR="00263C9B" w:rsidRPr="00D33A6C" w:rsidRDefault="00263C9B" w:rsidP="00541945">
            <w:pPr>
              <w:ind w:left="-51" w:hanging="6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lastRenderedPageBreak/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personali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diretti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tonici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atoni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atoni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con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verbi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modali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atoni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nei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tempi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composti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Funzioni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della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particella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r w:rsidRPr="00D33A6C">
              <w:rPr>
                <w:i/>
                <w:iCs/>
                <w:sz w:val="23"/>
                <w:szCs w:val="23"/>
                <w:lang w:val="en-US"/>
              </w:rPr>
              <w:t xml:space="preserve">ne </w:t>
            </w:r>
          </w:p>
          <w:p w:rsidR="00263C9B" w:rsidRPr="00D33A6C" w:rsidRDefault="00263C9B" w:rsidP="0058707A">
            <w:pPr>
              <w:ind w:left="-51" w:hanging="6"/>
              <w:jc w:val="both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58707A" w:rsidRPr="00D33A6C">
              <w:rPr>
                <w:b/>
                <w:lang w:val="en-US"/>
              </w:rPr>
              <w:t xml:space="preserve"> </w:t>
            </w:r>
            <w:proofErr w:type="spellStart"/>
            <w:r w:rsidR="0058707A" w:rsidRPr="00D33A6C">
              <w:rPr>
                <w:lang w:val="en-US"/>
              </w:rPr>
              <w:t>Mezzi</w:t>
            </w:r>
            <w:proofErr w:type="spellEnd"/>
            <w:r w:rsidR="0058707A" w:rsidRPr="00D33A6C">
              <w:rPr>
                <w:lang w:val="en-US"/>
              </w:rPr>
              <w:t xml:space="preserve"> di </w:t>
            </w:r>
            <w:proofErr w:type="spellStart"/>
            <w:r w:rsidR="0058707A" w:rsidRPr="00D33A6C">
              <w:rPr>
                <w:lang w:val="en-US"/>
              </w:rPr>
              <w:t>pagamento</w:t>
            </w:r>
            <w:proofErr w:type="spellEnd"/>
          </w:p>
          <w:p w:rsidR="00263C9B" w:rsidRPr="00D33A6C" w:rsidRDefault="00263C9B" w:rsidP="0058707A">
            <w:pPr>
              <w:ind w:left="-51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Prendere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prenotazioni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e dare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informazioni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necessarie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ai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potenziali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ospiti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dell’albergo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Svolgere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ricerca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su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internet per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trovare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curiosità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culturali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sul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proprio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paese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sull’Italia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riassumere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le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informazioni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 in </w:t>
            </w:r>
            <w:proofErr w:type="spellStart"/>
            <w:r w:rsidR="0058707A" w:rsidRPr="00D33A6C">
              <w:rPr>
                <w:sz w:val="23"/>
                <w:szCs w:val="23"/>
                <w:lang w:val="en-US"/>
              </w:rPr>
              <w:t>italiano</w:t>
            </w:r>
            <w:proofErr w:type="spellEnd"/>
            <w:r w:rsidR="0058707A" w:rsidRPr="00D33A6C">
              <w:rPr>
                <w:sz w:val="23"/>
                <w:szCs w:val="23"/>
                <w:lang w:val="en-US"/>
              </w:rPr>
              <w:t xml:space="preserve">. 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lastRenderedPageBreak/>
              <w:t>Day 4</w:t>
            </w:r>
          </w:p>
        </w:tc>
        <w:tc>
          <w:tcPr>
            <w:tcW w:w="8270" w:type="dxa"/>
            <w:gridSpan w:val="3"/>
          </w:tcPr>
          <w:p w:rsidR="00DD0DB0" w:rsidRPr="00D33A6C" w:rsidRDefault="00DD3993" w:rsidP="006E62C4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081BA0" w:rsidRPr="00D33A6C">
              <w:rPr>
                <w:b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del lavoro </w:t>
            </w:r>
          </w:p>
          <w:p w:rsidR="00DD3993" w:rsidRPr="00D33A6C" w:rsidRDefault="00DD3993" w:rsidP="006E62C4">
            <w:pPr>
              <w:ind w:left="-51" w:hanging="6"/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lang w:val="en-US"/>
              </w:rPr>
              <w:t xml:space="preserve">: </w:t>
            </w:r>
            <w:r w:rsidR="006E62C4" w:rsidRPr="00D33A6C">
              <w:rPr>
                <w:sz w:val="23"/>
                <w:szCs w:val="23"/>
                <w:lang w:val="en-US"/>
              </w:rPr>
              <w:t xml:space="preserve">Modi di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esprimere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comando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o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proibizione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imperativo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diretto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forme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regolari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irregolari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);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infinito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verbo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dovere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DD3993" w:rsidRPr="00D33A6C" w:rsidRDefault="00DD3993" w:rsidP="00DD0DB0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6E62C4" w:rsidRPr="00D33A6C">
              <w:rPr>
                <w:b/>
                <w:lang w:val="en-US"/>
              </w:rPr>
              <w:t xml:space="preserve"> </w:t>
            </w:r>
            <w:proofErr w:type="spellStart"/>
            <w:r w:rsidR="006E62C4" w:rsidRPr="00D33A6C">
              <w:rPr>
                <w:lang w:val="en-US"/>
              </w:rPr>
              <w:t>Cercare</w:t>
            </w:r>
            <w:proofErr w:type="spellEnd"/>
            <w:r w:rsidR="006E62C4" w:rsidRPr="00D33A6C">
              <w:rPr>
                <w:lang w:val="en-US"/>
              </w:rPr>
              <w:t xml:space="preserve"> e </w:t>
            </w:r>
            <w:proofErr w:type="spellStart"/>
            <w:r w:rsidR="006E62C4" w:rsidRPr="00D33A6C">
              <w:rPr>
                <w:lang w:val="en-US"/>
              </w:rPr>
              <w:t>trovare</w:t>
            </w:r>
            <w:proofErr w:type="spellEnd"/>
            <w:r w:rsidR="006E62C4" w:rsidRPr="00D33A6C">
              <w:rPr>
                <w:lang w:val="en-US"/>
              </w:rPr>
              <w:t xml:space="preserve"> lavoro;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Reti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sociali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il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di lavoro </w:t>
            </w:r>
          </w:p>
          <w:p w:rsidR="00DD3993" w:rsidRPr="00D33A6C" w:rsidRDefault="00DD3993" w:rsidP="006E62C4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6E62C4" w:rsidRPr="00D33A6C">
              <w:rPr>
                <w:b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Esprimere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ordini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proibizioni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; Dare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consigli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scrivere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istruzioni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per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il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6E62C4" w:rsidRPr="00D33A6C">
              <w:rPr>
                <w:sz w:val="23"/>
                <w:szCs w:val="23"/>
                <w:lang w:val="en-US"/>
              </w:rPr>
              <w:t>comportamento</w:t>
            </w:r>
            <w:proofErr w:type="spellEnd"/>
            <w:r w:rsidR="006E62C4" w:rsidRPr="00D33A6C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DD0DB0" w:rsidRPr="00D33A6C" w:rsidTr="006E62C4">
        <w:trPr>
          <w:trHeight w:val="1754"/>
        </w:trPr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5</w:t>
            </w:r>
          </w:p>
        </w:tc>
        <w:tc>
          <w:tcPr>
            <w:tcW w:w="8270" w:type="dxa"/>
            <w:gridSpan w:val="3"/>
          </w:tcPr>
          <w:p w:rsidR="00DD0DB0" w:rsidRPr="00D33A6C" w:rsidRDefault="006E62C4" w:rsidP="00DD0DB0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lavoro: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candidatura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lavoro</w:t>
            </w:r>
          </w:p>
          <w:p w:rsidR="006E62C4" w:rsidRPr="00D33A6C" w:rsidRDefault="006E62C4" w:rsidP="006E62C4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Imperativo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con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indiretti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atoni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tonici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6E62C4" w:rsidRPr="00D33A6C" w:rsidRDefault="006E62C4" w:rsidP="006E62C4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Disuguaglianza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genere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nell’istruzione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nel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lavoro;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Stereotipi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genere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Confronto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con la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situazione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montenegrina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rispetto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alla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parità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genere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6E62C4" w:rsidRPr="00D33A6C" w:rsidRDefault="006E62C4" w:rsidP="006E62C4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Partecipare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colloquio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di lavoro;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</w:t>
            </w:r>
            <w:r w:rsidR="00C141A9" w:rsidRPr="00D33A6C">
              <w:rPr>
                <w:sz w:val="23"/>
                <w:szCs w:val="23"/>
                <w:lang w:val="en-US"/>
              </w:rPr>
              <w:t>volgere</w:t>
            </w:r>
            <w:proofErr w:type="spellEnd"/>
            <w:r w:rsidR="00C141A9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141A9" w:rsidRPr="00D33A6C">
              <w:rPr>
                <w:sz w:val="23"/>
                <w:szCs w:val="23"/>
                <w:lang w:val="en-US"/>
              </w:rPr>
              <w:t>una</w:t>
            </w:r>
            <w:proofErr w:type="spellEnd"/>
            <w:r w:rsidR="00C141A9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141A9" w:rsidRPr="00D33A6C">
              <w:rPr>
                <w:sz w:val="23"/>
                <w:szCs w:val="23"/>
                <w:lang w:val="en-US"/>
              </w:rPr>
              <w:t>telefonata</w:t>
            </w:r>
            <w:proofErr w:type="spellEnd"/>
            <w:r w:rsidR="00C141A9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141A9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C141A9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Interpretare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un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grafico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6</w:t>
            </w:r>
          </w:p>
        </w:tc>
        <w:tc>
          <w:tcPr>
            <w:tcW w:w="8270" w:type="dxa"/>
            <w:gridSpan w:val="3"/>
          </w:tcPr>
          <w:p w:rsidR="00DD0DB0" w:rsidRPr="00D33A6C" w:rsidRDefault="00C141A9" w:rsidP="00C141A9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Lessico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specifico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Sostantivi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in – </w:t>
            </w:r>
            <w:proofErr w:type="spellStart"/>
            <w:r w:rsidRPr="00D33A6C">
              <w:rPr>
                <w:i/>
                <w:iCs/>
                <w:sz w:val="23"/>
                <w:szCs w:val="23"/>
                <w:lang w:val="en-US"/>
              </w:rPr>
              <w:t>zione</w:t>
            </w:r>
            <w:proofErr w:type="spellEnd"/>
            <w:r w:rsidRPr="00D33A6C">
              <w:rPr>
                <w:i/>
                <w:iCs/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DD0DB0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Derivazione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dei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sostantivi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in </w:t>
            </w:r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– </w:t>
            </w:r>
            <w:proofErr w:type="spellStart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>zione</w:t>
            </w:r>
            <w:proofErr w:type="spellEnd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dai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verbi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Strutture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linguistiche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per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esprimere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il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fine: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preposizioni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locuzioni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preposizionali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+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infinito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>/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sostantivo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Imperativo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Imperativo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con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atoni</w:t>
            </w:r>
            <w:proofErr w:type="spellEnd"/>
          </w:p>
          <w:p w:rsidR="00C141A9" w:rsidRPr="00D33A6C" w:rsidRDefault="00C141A9" w:rsidP="0075151B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Contrasto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linguistico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sostantivi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in </w:t>
            </w:r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– </w:t>
            </w:r>
            <w:proofErr w:type="spellStart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>zione</w:t>
            </w:r>
            <w:proofErr w:type="spellEnd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75151B" w:rsidRPr="00D33A6C">
              <w:rPr>
                <w:sz w:val="23"/>
                <w:szCs w:val="23"/>
                <w:lang w:val="en-US"/>
              </w:rPr>
              <w:t>e in –</w:t>
            </w:r>
            <w:proofErr w:type="spellStart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>cija</w:t>
            </w:r>
            <w:proofErr w:type="spellEnd"/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75151B" w:rsidRPr="00D33A6C">
              <w:rPr>
                <w:sz w:val="23"/>
                <w:szCs w:val="23"/>
                <w:lang w:val="en-US"/>
              </w:rPr>
              <w:t xml:space="preserve">(in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montenegrino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);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Uso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titoli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davanti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cognome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contrasto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con la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cultura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montenegrina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DD0DB0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="0075151B" w:rsidRPr="00D33A6C">
              <w:rPr>
                <w:lang w:val="en-US"/>
              </w:rPr>
              <w:t>Scrivere</w:t>
            </w:r>
            <w:proofErr w:type="spellEnd"/>
            <w:r w:rsidR="0075151B" w:rsidRPr="00D33A6C">
              <w:rPr>
                <w:lang w:val="en-US"/>
              </w:rPr>
              <w:t xml:space="preserve"> un CV; </w:t>
            </w:r>
            <w:proofErr w:type="spellStart"/>
            <w:r w:rsidR="0075151B" w:rsidRPr="00D33A6C">
              <w:rPr>
                <w:lang w:val="en-US"/>
              </w:rPr>
              <w:t>S</w:t>
            </w:r>
            <w:r w:rsidRPr="00D33A6C">
              <w:rPr>
                <w:lang w:val="en-US"/>
              </w:rPr>
              <w:t>crivere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una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lettera</w:t>
            </w:r>
            <w:proofErr w:type="spellEnd"/>
            <w:r w:rsidRPr="00D33A6C">
              <w:rPr>
                <w:lang w:val="en-US"/>
              </w:rPr>
              <w:t xml:space="preserve"> di </w:t>
            </w:r>
            <w:proofErr w:type="spellStart"/>
            <w:r w:rsidRPr="00D33A6C">
              <w:rPr>
                <w:lang w:val="en-US"/>
              </w:rPr>
              <w:t>presentazione</w:t>
            </w:r>
            <w:proofErr w:type="spellEnd"/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7</w:t>
            </w:r>
          </w:p>
        </w:tc>
        <w:tc>
          <w:tcPr>
            <w:tcW w:w="8270" w:type="dxa"/>
            <w:gridSpan w:val="3"/>
          </w:tcPr>
          <w:p w:rsidR="00C141A9" w:rsidRPr="00D33A6C" w:rsidRDefault="00C141A9" w:rsidP="00C141A9">
            <w:pPr>
              <w:ind w:hanging="57"/>
              <w:jc w:val="both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Lessico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specifico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mondo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sigle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abbreviazioni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ambito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3A6C">
              <w:rPr>
                <w:sz w:val="23"/>
                <w:szCs w:val="23"/>
                <w:lang w:val="en-US"/>
              </w:rPr>
              <w:t>professionale</w:t>
            </w:r>
            <w:proofErr w:type="spellEnd"/>
            <w:r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75151B">
            <w:pPr>
              <w:ind w:hanging="57"/>
              <w:jc w:val="both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combinati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Connettori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infatti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in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effetti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insomma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inoltre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e, ma, per di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più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cioè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perciò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comunque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Struttura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linguistica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della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lettera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75151B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Turismo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accessibile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Eufemismi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in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italiano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confronto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con la lingua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montenegrina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DD0DB0" w:rsidRPr="00D33A6C" w:rsidRDefault="00C141A9" w:rsidP="0075151B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 xml:space="preserve">: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Strutturare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scrivere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una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lettera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/ e-mail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formale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Svolgere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colloquio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di lavoro; Dare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indicazioni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Svolgere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ricerche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su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alcuni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servizi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turistici</w:t>
            </w:r>
            <w:proofErr w:type="spellEnd"/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8</w:t>
            </w:r>
          </w:p>
        </w:tc>
        <w:tc>
          <w:tcPr>
            <w:tcW w:w="8270" w:type="dxa"/>
            <w:gridSpan w:val="3"/>
          </w:tcPr>
          <w:p w:rsidR="00C141A9" w:rsidRPr="00D33A6C" w:rsidRDefault="00C141A9" w:rsidP="0075151B">
            <w:pPr>
              <w:ind w:hanging="57"/>
              <w:jc w:val="both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alla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cucina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italiana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Modi di dire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cibo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Aggettivi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descrittivi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percorso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turistico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75151B">
            <w:pPr>
              <w:ind w:hanging="57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Pronomi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relativi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variabili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invariabili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Condizionale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presente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passato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75151B" w:rsidRPr="00D33A6C" w:rsidRDefault="00C141A9" w:rsidP="0075151B">
            <w:pPr>
              <w:ind w:hanging="57"/>
              <w:jc w:val="both"/>
              <w:rPr>
                <w:b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Pasti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principali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della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cucina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italiana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confronto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con la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cucina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montenegrina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Il </w:t>
            </w:r>
            <w:r w:rsidR="00D33A6C" w:rsidRPr="00D33A6C">
              <w:rPr>
                <w:i/>
                <w:iCs/>
                <w:sz w:val="23"/>
                <w:szCs w:val="23"/>
                <w:lang w:val="en-US"/>
              </w:rPr>
              <w:t>made in Ital</w:t>
            </w:r>
            <w:r w:rsidR="0075151B" w:rsidRPr="00D33A6C">
              <w:rPr>
                <w:i/>
                <w:iCs/>
                <w:sz w:val="23"/>
                <w:szCs w:val="23"/>
                <w:lang w:val="en-US"/>
              </w:rPr>
              <w:t xml:space="preserve">y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alimentare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Turismo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enogastronomico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Feste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italiane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confronto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con le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feste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montenegrine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DD0DB0" w:rsidRPr="00D33A6C" w:rsidRDefault="00C141A9" w:rsidP="0075151B">
            <w:pPr>
              <w:jc w:val="both"/>
              <w:rPr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75151B" w:rsidRPr="00D33A6C">
              <w:rPr>
                <w:b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Ordinare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chiedere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spiegazioni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, fare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richieste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Scrivere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menu per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ogni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portata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Spiegare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prodotti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enogastronomici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tipici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del Montenegro;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Preparare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itinerario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75151B" w:rsidRPr="00D33A6C">
              <w:rPr>
                <w:sz w:val="23"/>
                <w:szCs w:val="23"/>
                <w:lang w:val="en-US"/>
              </w:rPr>
              <w:t>enogastronomico</w:t>
            </w:r>
            <w:proofErr w:type="spellEnd"/>
            <w:r w:rsidR="0075151B" w:rsidRPr="00D33A6C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7" w:lineRule="exact"/>
              <w:ind w:left="3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9</w:t>
            </w:r>
          </w:p>
        </w:tc>
        <w:tc>
          <w:tcPr>
            <w:tcW w:w="8270" w:type="dxa"/>
            <w:gridSpan w:val="3"/>
          </w:tcPr>
          <w:p w:rsidR="00C141A9" w:rsidRPr="00D33A6C" w:rsidRDefault="00C141A9" w:rsidP="00C90FB6">
            <w:pPr>
              <w:ind w:left="-51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lessicali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C90FB6" w:rsidRPr="00D33A6C">
              <w:rPr>
                <w:b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al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settore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alberghiero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forestierismi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Vocaboli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legati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alla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descrizione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dell’albergo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Lessico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alberghiero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e del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settore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turistico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C90FB6">
            <w:pPr>
              <w:ind w:left="-51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linguistico-grammaticali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C90FB6" w:rsidRPr="00D33A6C">
              <w:rPr>
                <w:b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Preposizioni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ripasso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);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Participio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passato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ripasso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); Il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passivo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congiuntivo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presente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passato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congiunzioni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subordinative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Modi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indefiniti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introduzione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alle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proposizioni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implicite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</w:p>
          <w:p w:rsidR="00C141A9" w:rsidRPr="00D33A6C" w:rsidRDefault="00C141A9" w:rsidP="00C90FB6">
            <w:pPr>
              <w:ind w:left="-51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Elementi</w:t>
            </w:r>
            <w:proofErr w:type="spellEnd"/>
            <w:r w:rsidRPr="00D33A6C">
              <w:rPr>
                <w:b/>
                <w:lang w:val="en-US"/>
              </w:rPr>
              <w:t xml:space="preserve"> </w:t>
            </w:r>
            <w:proofErr w:type="spellStart"/>
            <w:r w:rsidRPr="00D33A6C">
              <w:rPr>
                <w:b/>
                <w:lang w:val="en-US"/>
              </w:rPr>
              <w:t>linguistico-culturali</w:t>
            </w:r>
            <w:proofErr w:type="spellEnd"/>
            <w:r w:rsidRPr="00D33A6C">
              <w:rPr>
                <w:b/>
                <w:lang w:val="en-US"/>
              </w:rPr>
              <w:t xml:space="preserve"> e </w:t>
            </w:r>
            <w:proofErr w:type="spellStart"/>
            <w:r w:rsidRPr="00D33A6C">
              <w:rPr>
                <w:b/>
                <w:lang w:val="en-US"/>
              </w:rPr>
              <w:t>interculturali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C90FB6" w:rsidRPr="00D33A6C">
              <w:rPr>
                <w:b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Turismo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superstizione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Recensioni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(online) </w:t>
            </w:r>
          </w:p>
          <w:p w:rsidR="00DD0DB0" w:rsidRPr="00D33A6C" w:rsidRDefault="00C141A9" w:rsidP="00C90FB6">
            <w:pPr>
              <w:ind w:hanging="57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33A6C">
              <w:rPr>
                <w:b/>
                <w:lang w:val="en-US"/>
              </w:rPr>
              <w:t>Abilità</w:t>
            </w:r>
            <w:proofErr w:type="spellEnd"/>
            <w:r w:rsidRPr="00D33A6C">
              <w:rPr>
                <w:b/>
                <w:lang w:val="en-US"/>
              </w:rPr>
              <w:t>:</w:t>
            </w:r>
            <w:r w:rsidR="00C90FB6" w:rsidRPr="00D33A6C">
              <w:rPr>
                <w:b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Descrivere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un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albergo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Trovare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>/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chiedere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/dare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informazioni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sull’offerta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dell’albergo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Gestire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ospiti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in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albergo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Gestire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un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reclamo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Rispondere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per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iscritto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a un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reclamo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>/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recensione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>/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richiesta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di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risarcimento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danni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Scrivere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una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recensione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positiva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una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recensione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C90FB6" w:rsidRPr="00D33A6C">
              <w:rPr>
                <w:sz w:val="23"/>
                <w:szCs w:val="23"/>
                <w:lang w:val="en-US"/>
              </w:rPr>
              <w:t>negativa</w:t>
            </w:r>
            <w:proofErr w:type="spellEnd"/>
            <w:r w:rsidR="00C90FB6" w:rsidRPr="00D33A6C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DD0DB0" w:rsidRPr="00D33A6C" w:rsidTr="00DD0DB0">
        <w:tc>
          <w:tcPr>
            <w:tcW w:w="1113" w:type="dxa"/>
          </w:tcPr>
          <w:p w:rsidR="00DD0DB0" w:rsidRPr="00D33A6C" w:rsidRDefault="00DD0DB0" w:rsidP="00DD0DB0">
            <w:pPr>
              <w:pStyle w:val="TableParagraph"/>
              <w:spacing w:line="189" w:lineRule="exact"/>
              <w:ind w:left="3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  <w:spacing w:val="-1"/>
              </w:rPr>
              <w:t>Day 10</w:t>
            </w:r>
          </w:p>
        </w:tc>
        <w:tc>
          <w:tcPr>
            <w:tcW w:w="8270" w:type="dxa"/>
            <w:gridSpan w:val="3"/>
          </w:tcPr>
          <w:p w:rsidR="00DD0DB0" w:rsidRPr="00D33A6C" w:rsidRDefault="00C90FB6" w:rsidP="00DD0DB0">
            <w:pPr>
              <w:ind w:hanging="57"/>
              <w:rPr>
                <w:lang w:val="en-US"/>
              </w:rPr>
            </w:pPr>
            <w:proofErr w:type="spellStart"/>
            <w:r w:rsidRPr="00D33A6C">
              <w:rPr>
                <w:lang w:val="en-US"/>
              </w:rPr>
              <w:t>Presentazione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dei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compiti</w:t>
            </w:r>
            <w:proofErr w:type="spellEnd"/>
            <w:r w:rsidRPr="00D33A6C">
              <w:rPr>
                <w:lang w:val="en-US"/>
              </w:rPr>
              <w:t>/</w:t>
            </w:r>
            <w:proofErr w:type="spellStart"/>
            <w:r w:rsidRPr="00D33A6C">
              <w:rPr>
                <w:lang w:val="en-US"/>
              </w:rPr>
              <w:t>progetti</w:t>
            </w:r>
            <w:proofErr w:type="spellEnd"/>
            <w:r w:rsidRPr="00D33A6C">
              <w:rPr>
                <w:lang w:val="en-US"/>
              </w:rPr>
              <w:t xml:space="preserve"> </w:t>
            </w:r>
            <w:proofErr w:type="spellStart"/>
            <w:r w:rsidRPr="00D33A6C">
              <w:rPr>
                <w:lang w:val="en-US"/>
              </w:rPr>
              <w:t>finali</w:t>
            </w:r>
            <w:proofErr w:type="spellEnd"/>
            <w:r w:rsidRPr="00D33A6C">
              <w:rPr>
                <w:lang w:val="en-US"/>
              </w:rPr>
              <w:t xml:space="preserve">. </w:t>
            </w:r>
          </w:p>
        </w:tc>
      </w:tr>
      <w:tr w:rsidR="00DD0DB0" w:rsidRPr="00454BEB" w:rsidTr="007C2116">
        <w:tc>
          <w:tcPr>
            <w:tcW w:w="9383" w:type="dxa"/>
            <w:gridSpan w:val="4"/>
          </w:tcPr>
          <w:p w:rsidR="00454BEB" w:rsidRDefault="00454BEB" w:rsidP="00DD0DB0">
            <w:pPr>
              <w:ind w:hanging="57"/>
              <w:rPr>
                <w:rFonts w:cstheme="minorHAnsi"/>
                <w:b/>
                <w:spacing w:val="-1"/>
                <w:lang w:val="en-US"/>
              </w:rPr>
            </w:pPr>
          </w:p>
          <w:p w:rsidR="00DD0DB0" w:rsidRPr="00454BEB" w:rsidRDefault="00DD0DB0" w:rsidP="00DD0DB0">
            <w:pPr>
              <w:ind w:hanging="57"/>
              <w:rPr>
                <w:rFonts w:cstheme="minorHAnsi"/>
                <w:spacing w:val="-1"/>
              </w:rPr>
            </w:pPr>
            <w:proofErr w:type="spellStart"/>
            <w:r w:rsidRPr="00454BEB">
              <w:rPr>
                <w:rFonts w:cstheme="minorHAnsi"/>
                <w:b/>
                <w:spacing w:val="-1"/>
              </w:rPr>
              <w:t>Literature</w:t>
            </w:r>
            <w:proofErr w:type="spellEnd"/>
            <w:r w:rsidRPr="00454BEB">
              <w:rPr>
                <w:rFonts w:cstheme="minorHAnsi"/>
                <w:b/>
                <w:spacing w:val="-1"/>
              </w:rPr>
              <w:t xml:space="preserve">: </w:t>
            </w:r>
            <w:proofErr w:type="spellStart"/>
            <w:r w:rsidR="003B1C40" w:rsidRPr="00454BEB">
              <w:rPr>
                <w:rFonts w:cstheme="minorHAnsi"/>
                <w:i/>
                <w:spacing w:val="-1"/>
              </w:rPr>
              <w:t>ReFLAME</w:t>
            </w:r>
            <w:proofErr w:type="spellEnd"/>
            <w:r w:rsidR="003B1C40" w:rsidRPr="00454BEB">
              <w:rPr>
                <w:rFonts w:cstheme="minorHAnsi"/>
                <w:i/>
                <w:spacing w:val="-1"/>
              </w:rPr>
              <w:t xml:space="preserve"> il tuo</w:t>
            </w:r>
            <w:r w:rsidRPr="00454BEB">
              <w:rPr>
                <w:rFonts w:cstheme="minorHAnsi"/>
                <w:i/>
                <w:spacing w:val="-1"/>
              </w:rPr>
              <w:t xml:space="preserve"> Italiano per </w:t>
            </w:r>
            <w:r w:rsidR="00C90FB6" w:rsidRPr="00454BEB">
              <w:rPr>
                <w:rFonts w:cstheme="minorHAnsi"/>
                <w:i/>
                <w:spacing w:val="-1"/>
              </w:rPr>
              <w:t xml:space="preserve">i </w:t>
            </w:r>
            <w:r w:rsidRPr="00454BEB">
              <w:rPr>
                <w:rFonts w:cstheme="minorHAnsi"/>
                <w:i/>
                <w:spacing w:val="-1"/>
              </w:rPr>
              <w:t>mediatori linguistico-culturali</w:t>
            </w:r>
            <w:r w:rsidR="00C90FB6" w:rsidRPr="00454BEB">
              <w:rPr>
                <w:rFonts w:cstheme="minorHAnsi"/>
                <w:i/>
                <w:spacing w:val="-1"/>
              </w:rPr>
              <w:t xml:space="preserve"> in Montenegro</w:t>
            </w:r>
            <w:r w:rsidR="003B1C40" w:rsidRPr="00454BEB">
              <w:rPr>
                <w:rFonts w:cstheme="minorHAnsi"/>
                <w:spacing w:val="-1"/>
              </w:rPr>
              <w:t xml:space="preserve"> – </w:t>
            </w:r>
            <w:proofErr w:type="spellStart"/>
            <w:r w:rsidR="003B1C40" w:rsidRPr="00454BEB">
              <w:rPr>
                <w:rFonts w:cstheme="minorHAnsi"/>
                <w:spacing w:val="-1"/>
              </w:rPr>
              <w:t>authors</w:t>
            </w:r>
            <w:proofErr w:type="spellEnd"/>
            <w:r w:rsidR="003B1C40" w:rsidRPr="00454BEB">
              <w:rPr>
                <w:rFonts w:cstheme="minorHAnsi"/>
                <w:spacing w:val="-1"/>
              </w:rPr>
              <w:t>:</w:t>
            </w:r>
            <w:r w:rsidR="00454BEB">
              <w:rPr>
                <w:rFonts w:cstheme="minorHAnsi"/>
                <w:spacing w:val="-1"/>
              </w:rPr>
              <w:t xml:space="preserve"> Deja </w:t>
            </w:r>
            <w:bookmarkStart w:id="0" w:name="_GoBack"/>
            <w:bookmarkEnd w:id="0"/>
            <w:r w:rsidR="003B1C40" w:rsidRPr="00454BEB">
              <w:rPr>
                <w:rFonts w:cstheme="minorHAnsi"/>
                <w:spacing w:val="-1"/>
              </w:rPr>
              <w:t xml:space="preserve">Piletić &amp; Gordana Luburić </w:t>
            </w:r>
          </w:p>
          <w:p w:rsidR="00DD0DB0" w:rsidRPr="00454BEB" w:rsidRDefault="00DD0DB0" w:rsidP="00DD0DB0">
            <w:pPr>
              <w:ind w:hanging="57"/>
            </w:pPr>
          </w:p>
        </w:tc>
      </w:tr>
      <w:tr w:rsidR="00DD0DB0" w:rsidRPr="00D33A6C" w:rsidTr="00CA133D">
        <w:tc>
          <w:tcPr>
            <w:tcW w:w="9383" w:type="dxa"/>
            <w:gridSpan w:val="4"/>
          </w:tcPr>
          <w:p w:rsidR="00DD0DB0" w:rsidRPr="00D33A6C" w:rsidRDefault="00DD0DB0" w:rsidP="00DD0DB0">
            <w:pPr>
              <w:ind w:hanging="57"/>
              <w:rPr>
                <w:rFonts w:cstheme="minorHAnsi"/>
                <w:b/>
                <w:lang w:val="en-US"/>
              </w:rPr>
            </w:pPr>
            <w:r w:rsidRPr="00D33A6C">
              <w:rPr>
                <w:rFonts w:cstheme="minorHAnsi"/>
                <w:b/>
                <w:lang w:val="en-US"/>
              </w:rPr>
              <w:t xml:space="preserve">Special remarks: </w:t>
            </w:r>
            <w:r w:rsidR="003B1C40" w:rsidRPr="00D33A6C">
              <w:rPr>
                <w:rFonts w:cstheme="minorHAnsi"/>
                <w:b/>
                <w:lang w:val="en-US"/>
              </w:rPr>
              <w:t>/</w:t>
            </w:r>
          </w:p>
          <w:p w:rsidR="00DD0DB0" w:rsidRPr="00D33A6C" w:rsidRDefault="00DD0DB0" w:rsidP="00DD0DB0">
            <w:pPr>
              <w:ind w:hanging="57"/>
              <w:rPr>
                <w:lang w:val="en-US"/>
              </w:rPr>
            </w:pPr>
          </w:p>
        </w:tc>
      </w:tr>
      <w:tr w:rsidR="00DD0DB0" w:rsidRPr="00D33A6C" w:rsidTr="00B055DB">
        <w:trPr>
          <w:trHeight w:val="547"/>
        </w:trPr>
        <w:tc>
          <w:tcPr>
            <w:tcW w:w="9383" w:type="dxa"/>
            <w:gridSpan w:val="4"/>
          </w:tcPr>
          <w:p w:rsidR="00541945" w:rsidRPr="00D33A6C" w:rsidRDefault="00DD0DB0" w:rsidP="00541945">
            <w:pPr>
              <w:pStyle w:val="TableParagraph"/>
              <w:tabs>
                <w:tab w:val="left" w:pos="5"/>
              </w:tabs>
              <w:spacing w:before="14" w:line="180" w:lineRule="exact"/>
              <w:ind w:left="5"/>
              <w:jc w:val="both"/>
              <w:rPr>
                <w:rFonts w:asciiTheme="minorHAnsi" w:hAnsiTheme="minorHAnsi" w:cstheme="minorHAnsi"/>
                <w:b/>
              </w:rPr>
            </w:pPr>
            <w:r w:rsidRPr="00D33A6C">
              <w:rPr>
                <w:rFonts w:asciiTheme="minorHAnsi" w:hAnsiTheme="minorHAnsi" w:cstheme="minorHAnsi"/>
                <w:b/>
              </w:rPr>
              <w:t xml:space="preserve">Learning outcomes:   </w:t>
            </w:r>
          </w:p>
          <w:p w:rsidR="00541945" w:rsidRPr="00D33A6C" w:rsidRDefault="00541945" w:rsidP="00541945">
            <w:pPr>
              <w:pStyle w:val="TableParagraph"/>
              <w:tabs>
                <w:tab w:val="left" w:pos="5"/>
              </w:tabs>
              <w:spacing w:before="14" w:line="180" w:lineRule="exact"/>
              <w:ind w:left="5"/>
              <w:jc w:val="both"/>
            </w:pPr>
          </w:p>
          <w:p w:rsidR="00541945" w:rsidRPr="00D33A6C" w:rsidRDefault="00541945" w:rsidP="00541945">
            <w:pPr>
              <w:pStyle w:val="TableParagraph"/>
              <w:tabs>
                <w:tab w:val="left" w:pos="5"/>
              </w:tabs>
              <w:spacing w:before="14" w:line="180" w:lineRule="exact"/>
              <w:ind w:left="5"/>
              <w:jc w:val="both"/>
              <w:rPr>
                <w:rFonts w:asciiTheme="minorHAnsi" w:hAnsiTheme="minorHAnsi" w:cstheme="minorHAnsi"/>
                <w:b/>
              </w:rPr>
            </w:pPr>
            <w:r w:rsidRPr="00D33A6C">
              <w:t>Upon the completion of this course, the student will be able to:</w:t>
            </w: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-US" w:eastAsia="it-IT"/>
              </w:rPr>
            </w:pP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eastAsia="Times New Roman" w:cstheme="minorHAnsi"/>
                <w:lang w:val="en-US" w:eastAsia="it-IT"/>
              </w:rPr>
              <w:t xml:space="preserve">1. Demonstrate communicative competence in Italian language at the level of A2 +/B1 </w:t>
            </w:r>
            <w:r w:rsidRPr="00D33A6C">
              <w:rPr>
                <w:rFonts w:cstheme="minorHAnsi"/>
                <w:lang w:val="en-US"/>
              </w:rPr>
              <w:t>of the Common European Framework of Reference for Languages</w:t>
            </w:r>
            <w:r w:rsidRPr="00D33A6C">
              <w:rPr>
                <w:rFonts w:eastAsia="Times New Roman" w:cstheme="minorHAnsi"/>
                <w:lang w:val="en-US" w:eastAsia="it-IT"/>
              </w:rPr>
              <w:t>, with special emphasis on various communicative situations related to the business environment in the field of tourism and culture;</w:t>
            </w: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eastAsia="Times New Roman" w:cstheme="minorHAnsi"/>
                <w:lang w:val="en-US" w:eastAsia="it-IT"/>
              </w:rPr>
              <w:t>2. Produce simple written and oral texts on topics discussed in the course: present their professional development, participate in job interviews, conduct formal and informal correspondence, conduct formal telephone conversations, give instructions, write/compose: CV, specific tourist offer for travel or excursion, traditional menu, etc.;</w:t>
            </w: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eastAsia="Times New Roman" w:cstheme="minorHAnsi"/>
                <w:lang w:val="en-US" w:eastAsia="it-IT"/>
              </w:rPr>
              <w:t>3. Explain in a simple way (cultural) similarities and differences at different levels of Italian and Montenegrin modern society, as well as traditions and customs and discuss them;</w:t>
            </w:r>
          </w:p>
          <w:p w:rsidR="00541945" w:rsidRPr="00D33A6C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</w:p>
          <w:p w:rsidR="00541945" w:rsidRPr="00541945" w:rsidRDefault="00541945" w:rsidP="00541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val="en-US" w:eastAsia="it-IT"/>
              </w:rPr>
            </w:pPr>
            <w:r w:rsidRPr="00D33A6C">
              <w:rPr>
                <w:rFonts w:eastAsia="Times New Roman" w:cstheme="minorHAnsi"/>
                <w:lang w:val="en-US" w:eastAsia="it-IT"/>
              </w:rPr>
              <w:t xml:space="preserve">4. Use online resources in Italian and Montenegrin in order to deepen </w:t>
            </w:r>
            <w:r w:rsidRPr="00D33A6C">
              <w:rPr>
                <w:rFonts w:eastAsia="Times New Roman" w:cstheme="minorHAnsi"/>
                <w:lang w:val="en-US" w:eastAsia="it-IT"/>
              </w:rPr>
              <w:t>important</w:t>
            </w:r>
            <w:r w:rsidRPr="00D33A6C">
              <w:rPr>
                <w:rFonts w:eastAsia="Times New Roman" w:cstheme="minorHAnsi"/>
                <w:lang w:val="en-US" w:eastAsia="it-IT"/>
              </w:rPr>
              <w:t xml:space="preserve"> topics in the field of tourism and culture.</w:t>
            </w:r>
          </w:p>
          <w:p w:rsidR="00DD0DB0" w:rsidRPr="00D33A6C" w:rsidRDefault="00DD0DB0" w:rsidP="00DD0DB0">
            <w:pPr>
              <w:ind w:hanging="57"/>
              <w:rPr>
                <w:lang w:val="en-US"/>
              </w:rPr>
            </w:pPr>
          </w:p>
        </w:tc>
      </w:tr>
    </w:tbl>
    <w:p w:rsidR="00DA774F" w:rsidRPr="00D33A6C" w:rsidRDefault="007B1470">
      <w:pPr>
        <w:rPr>
          <w:lang w:val="en-US"/>
        </w:rPr>
      </w:pPr>
    </w:p>
    <w:sectPr w:rsidR="00DA774F" w:rsidRPr="00D33A6C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70" w:rsidRDefault="007B1470" w:rsidP="00DD0DB0">
      <w:pPr>
        <w:spacing w:after="0" w:line="240" w:lineRule="auto"/>
      </w:pPr>
      <w:r>
        <w:separator/>
      </w:r>
    </w:p>
  </w:endnote>
  <w:endnote w:type="continuationSeparator" w:id="0">
    <w:p w:rsidR="007B1470" w:rsidRDefault="007B1470" w:rsidP="00DD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70" w:rsidRDefault="007B1470" w:rsidP="00DD0DB0">
      <w:pPr>
        <w:spacing w:after="0" w:line="240" w:lineRule="auto"/>
      </w:pPr>
      <w:r>
        <w:separator/>
      </w:r>
    </w:p>
  </w:footnote>
  <w:footnote w:type="continuationSeparator" w:id="0">
    <w:p w:rsidR="007B1470" w:rsidRDefault="007B1470" w:rsidP="00DD0DB0">
      <w:pPr>
        <w:spacing w:after="0" w:line="240" w:lineRule="auto"/>
      </w:pPr>
      <w:r>
        <w:continuationSeparator/>
      </w:r>
    </w:p>
  </w:footnote>
  <w:footnote w:id="1">
    <w:p w:rsidR="00DD0DB0" w:rsidRPr="006847C4" w:rsidRDefault="00DD0DB0" w:rsidP="00706E99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6847C4">
        <w:t xml:space="preserve">Za one </w:t>
      </w:r>
      <w:proofErr w:type="spellStart"/>
      <w:r w:rsidRPr="006847C4">
        <w:t>koji</w:t>
      </w:r>
      <w:proofErr w:type="spellEnd"/>
      <w:r w:rsidRPr="006847C4">
        <w:t xml:space="preserve"> </w:t>
      </w:r>
      <w:proofErr w:type="spellStart"/>
      <w:r w:rsidRPr="006847C4">
        <w:t>imaju</w:t>
      </w:r>
      <w:proofErr w:type="spellEnd"/>
      <w:r w:rsidRPr="006847C4">
        <w:t xml:space="preserve"> </w:t>
      </w:r>
      <w:proofErr w:type="spellStart"/>
      <w:r w:rsidRPr="006847C4">
        <w:t>mogućnost</w:t>
      </w:r>
      <w:proofErr w:type="spellEnd"/>
      <w:r w:rsidRPr="006847C4">
        <w:t xml:space="preserve"> da </w:t>
      </w:r>
      <w:proofErr w:type="spellStart"/>
      <w:r w:rsidRPr="006847C4">
        <w:t>dodijele</w:t>
      </w:r>
      <w:proofErr w:type="spellEnd"/>
      <w:r w:rsidRPr="006847C4">
        <w:t xml:space="preserve"> ECTS </w:t>
      </w:r>
      <w:proofErr w:type="spellStart"/>
      <w:r w:rsidRPr="006847C4">
        <w:t>kredite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UCG.</w:t>
      </w:r>
    </w:p>
    <w:p w:rsidR="00DD0DB0" w:rsidRPr="00706E99" w:rsidRDefault="00DD0DB0">
      <w:pPr>
        <w:pStyle w:val="FootnoteText"/>
        <w:rPr>
          <w:lang w:val="sr-Latn-M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0"/>
    <w:rsid w:val="000163E5"/>
    <w:rsid w:val="00081BA0"/>
    <w:rsid w:val="000E0811"/>
    <w:rsid w:val="0016313D"/>
    <w:rsid w:val="00193B85"/>
    <w:rsid w:val="00236914"/>
    <w:rsid w:val="002516C3"/>
    <w:rsid w:val="00263C9B"/>
    <w:rsid w:val="00274B1F"/>
    <w:rsid w:val="002C3EFA"/>
    <w:rsid w:val="0037358C"/>
    <w:rsid w:val="003B1C40"/>
    <w:rsid w:val="0044386F"/>
    <w:rsid w:val="00454BEB"/>
    <w:rsid w:val="005169E9"/>
    <w:rsid w:val="00541945"/>
    <w:rsid w:val="0058707A"/>
    <w:rsid w:val="005F344D"/>
    <w:rsid w:val="005F74F2"/>
    <w:rsid w:val="0060486B"/>
    <w:rsid w:val="006819B2"/>
    <w:rsid w:val="006B351B"/>
    <w:rsid w:val="006E62C4"/>
    <w:rsid w:val="00726C2D"/>
    <w:rsid w:val="0075151B"/>
    <w:rsid w:val="007B1470"/>
    <w:rsid w:val="00832B9B"/>
    <w:rsid w:val="00832D90"/>
    <w:rsid w:val="00A10BE5"/>
    <w:rsid w:val="00A14425"/>
    <w:rsid w:val="00C141A9"/>
    <w:rsid w:val="00C90FB6"/>
    <w:rsid w:val="00CC3F8B"/>
    <w:rsid w:val="00CE6D21"/>
    <w:rsid w:val="00D33A6C"/>
    <w:rsid w:val="00DD0DB0"/>
    <w:rsid w:val="00DD3993"/>
    <w:rsid w:val="00DF5AB7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78D6-1FEA-4CDB-886E-264720E0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0D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DB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DB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0DB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DB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DB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163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9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541945"/>
  </w:style>
  <w:style w:type="paragraph" w:styleId="ListParagraph">
    <w:name w:val="List Paragraph"/>
    <w:basedOn w:val="Normal"/>
    <w:uiPriority w:val="34"/>
    <w:qFormat/>
    <w:rsid w:val="0054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2021-06-18T13:34:00Z</dcterms:created>
  <dcterms:modified xsi:type="dcterms:W3CDTF">2021-06-18T13:35:00Z</dcterms:modified>
</cp:coreProperties>
</file>